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眩晕（后循环缺血）中医临床路径</w:t>
      </w:r>
    </w:p>
    <w:p>
      <w:pPr>
        <w:spacing w:line="5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（2018年版）</w:t>
      </w:r>
    </w:p>
    <w:p>
      <w:pPr>
        <w:spacing w:line="4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路径说明：本路径适合于西医诊断为后循环缺血的住院患者。</w:t>
      </w:r>
    </w:p>
    <w:p>
      <w:pPr>
        <w:numPr>
          <w:ilvl w:val="0"/>
          <w:numId w:val="1"/>
        </w:numPr>
        <w:spacing w:line="400" w:lineRule="exact"/>
        <w:ind w:firstLine="424" w:firstLineChars="177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眩晕（后循环缺血）中医临床路径标准住院流程</w:t>
      </w:r>
    </w:p>
    <w:p>
      <w:pPr>
        <w:numPr>
          <w:ilvl w:val="0"/>
          <w:numId w:val="2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适用对象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中医诊断：第一诊断为眩晕（TCD编码：BNG070）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西医诊断：第一诊断为后循环缺血（ICD编码：</w:t>
      </w:r>
      <w:r>
        <w:rPr>
          <w:rFonts w:asciiTheme="minorEastAsia" w:hAnsiTheme="minorEastAsia"/>
          <w:sz w:val="24"/>
        </w:rPr>
        <w:t>G45.0</w:t>
      </w:r>
      <w:r>
        <w:rPr>
          <w:rFonts w:hint="eastAsia" w:asciiTheme="minorEastAsia" w:hAnsiTheme="minorEastAsia"/>
          <w:sz w:val="24"/>
        </w:rPr>
        <w:t>）</w:t>
      </w:r>
    </w:p>
    <w:p>
      <w:pPr>
        <w:numPr>
          <w:ilvl w:val="0"/>
          <w:numId w:val="2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诊断依据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1.疾病诊断</w:t>
      </w:r>
    </w:p>
    <w:p>
      <w:pPr>
        <w:numPr>
          <w:ilvl w:val="0"/>
          <w:numId w:val="3"/>
        </w:numPr>
        <w:spacing w:line="400" w:lineRule="exact"/>
        <w:ind w:left="424" w:leftChars="202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中医诊断标准：</w:t>
      </w:r>
      <w:r>
        <w:rPr>
          <w:rFonts w:hint="eastAsia" w:cs="宋体" w:asciiTheme="minorEastAsia" w:hAnsiTheme="minorEastAsia"/>
          <w:sz w:val="24"/>
        </w:rPr>
        <w:t>参照国家中医药管理局医政司2010年颁布的《22个专业95个病种中医诊疗方案合订本-眩晕诊疗方案》。</w:t>
      </w:r>
    </w:p>
    <w:p>
      <w:pPr>
        <w:numPr>
          <w:ilvl w:val="0"/>
          <w:numId w:val="3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西医诊断标准：</w:t>
      </w:r>
      <w:r>
        <w:rPr>
          <w:rFonts w:hint="eastAsia" w:cs="宋体" w:asciiTheme="minorEastAsia" w:hAnsiTheme="minorEastAsia"/>
          <w:sz w:val="24"/>
        </w:rPr>
        <w:t xml:space="preserve">参照中国后循环缺血专家共识组《中国后循环缺血的专家共识》（2006年版）、《眩晕》（粟秀初，黄如训主编，第四军医大学出版社2008年出版）。 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2.证候诊断标准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参照国家中医药管理局医政司颁布的《22个专业95个病种中医诊疗方案合订本-眩晕诊疗方案》（2010版）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眩晕</w:t>
      </w:r>
      <w:r>
        <w:rPr>
          <w:rFonts w:hint="eastAsia" w:ascii="宋体" w:hAnsi="宋体" w:eastAsia="宋体"/>
          <w:sz w:val="24"/>
        </w:rPr>
        <w:t>（后循环缺血）</w:t>
      </w:r>
      <w:r>
        <w:rPr>
          <w:rFonts w:hint="eastAsia" w:asciiTheme="minorEastAsia" w:hAnsiTheme="minorEastAsia"/>
          <w:sz w:val="24"/>
        </w:rPr>
        <w:t>临床常见证候：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风痰上扰证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肝火上炎证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痰瘀阻窍证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阴虚阳亢证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气血亏虚证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肾精不足证</w:t>
      </w:r>
    </w:p>
    <w:p>
      <w:pPr>
        <w:numPr>
          <w:ilvl w:val="0"/>
          <w:numId w:val="4"/>
        </w:numPr>
        <w:spacing w:line="400" w:lineRule="exact"/>
        <w:ind w:left="424" w:leftChars="202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治疗方案的选择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参照“国家中医药管理局‘十一五’重点专科协作组眩晕诊疗方案”及中华中医药学会《中医内科常见病诊疗指南》（ZYYXH/T18-2008）。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1.诊断明确，第一诊断为眩晕（后循环缺血）。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2.患者适合并接受中医治疗</w:t>
      </w:r>
    </w:p>
    <w:p>
      <w:pPr>
        <w:numPr>
          <w:ilvl w:val="0"/>
          <w:numId w:val="5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标准住院日为≤12天</w:t>
      </w:r>
    </w:p>
    <w:p>
      <w:pPr>
        <w:numPr>
          <w:ilvl w:val="0"/>
          <w:numId w:val="5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进入临床路径标准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1.第一诊断必须符合眩晕（后循环缺血）的患者。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2.患者同时具有其他疾病，若在治疗期间不需特殊处理，也不影响第一诊断的临床路径流程实施时，可进入本路径。</w:t>
      </w:r>
    </w:p>
    <w:p>
      <w:pPr>
        <w:tabs>
          <w:tab w:val="left" w:pos="312"/>
        </w:tabs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3.由肿瘤、脑外伤、脑梗死、脑出血等引起的眩晕患者不进入本路径。</w:t>
      </w:r>
    </w:p>
    <w:p>
      <w:pPr>
        <w:numPr>
          <w:ilvl w:val="0"/>
          <w:numId w:val="6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中医证候学观察</w:t>
      </w:r>
    </w:p>
    <w:p>
      <w:p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四诊合参，观察该病种不同证候的主症、次症、舌、脉特点。</w:t>
      </w:r>
    </w:p>
    <w:p>
      <w:pPr>
        <w:numPr>
          <w:ilvl w:val="0"/>
          <w:numId w:val="6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入院检查项目</w:t>
      </w:r>
    </w:p>
    <w:p>
      <w:pPr>
        <w:tabs>
          <w:tab w:val="left" w:pos="312"/>
        </w:tabs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1.必需的检查项目：血常规、尿常规、便常规、肝功能、肾</w:t>
      </w:r>
      <w:r>
        <w:rPr>
          <w:rFonts w:hint="eastAsia" w:asciiTheme="minorEastAsia" w:hAnsiTheme="minorEastAsia"/>
          <w:color w:val="000000"/>
          <w:sz w:val="24"/>
        </w:rPr>
        <w:t>功能、心电图、心功能超声、</w:t>
      </w:r>
      <w:r>
        <w:rPr>
          <w:rFonts w:hint="eastAsia" w:asciiTheme="minorEastAsia" w:hAnsiTheme="minorEastAsia"/>
          <w:sz w:val="24"/>
        </w:rPr>
        <w:t>经颅多普勒超声检查（TCD）。</w:t>
      </w:r>
    </w:p>
    <w:p>
      <w:pPr>
        <w:tabs>
          <w:tab w:val="left" w:pos="312"/>
        </w:tabs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2.可选择的检查项目：根据病情需要，可选择颈椎X线片、脑干听觉诱发电位（BAEP）、颈动脉血管超声、前庭功能检查、头颅</w:t>
      </w:r>
      <w:r>
        <w:rPr>
          <w:rFonts w:hint="eastAsia" w:cs="宋体" w:asciiTheme="minorEastAsia" w:hAnsiTheme="minorEastAsia"/>
          <w:sz w:val="24"/>
        </w:rPr>
        <w:t>CT、MRI（+DWI）或CTA、DSA检查</w:t>
      </w:r>
      <w:r>
        <w:rPr>
          <w:rFonts w:hint="eastAsia" w:asciiTheme="minorEastAsia" w:hAnsiTheme="minorEastAsia"/>
          <w:sz w:val="24"/>
        </w:rPr>
        <w:t>等。</w:t>
      </w:r>
    </w:p>
    <w:p>
      <w:pPr>
        <w:numPr>
          <w:ilvl w:val="0"/>
          <w:numId w:val="7"/>
        </w:numPr>
        <w:spacing w:line="400" w:lineRule="exact"/>
        <w:ind w:firstLine="424" w:firstLineChars="177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治疗方法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1.辨证选择口服中药汤剂、中成药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（1）风痰上扰证：祛风化痰，健脾和胃。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（2）肝火上炎证：平肝潜阳，清火熄风。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（3）痰瘀阻窍证：活血化痰，通络开窍。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（4）阴虚阳亢证：镇肝熄风，滋阴潜阳。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（5）气血亏虚证：补益气血，健运脾胃。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（6）肾精不足证：补肾填精，充养脑髓。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</w:rPr>
        <w:t>辨证选择静脉滴注中药注射液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3.其他中医特色疗法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（1）专方专药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（2）药物外治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（3）针刺疗法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4.西药治疗 </w:t>
      </w:r>
    </w:p>
    <w:p>
      <w:pPr>
        <w:spacing w:line="400" w:lineRule="exact"/>
        <w:ind w:firstLine="424" w:firstLineChars="177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5.</w:t>
      </w:r>
      <w:r>
        <w:rPr>
          <w:rFonts w:hint="eastAsia" w:cs="宋体" w:asciiTheme="minorEastAsia" w:hAnsiTheme="minorEastAsia"/>
          <w:sz w:val="24"/>
        </w:rPr>
        <w:t>护理调摄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（九）出院标准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1.</w:t>
      </w:r>
      <w:r>
        <w:rPr>
          <w:rFonts w:hint="eastAsia" w:asciiTheme="minorEastAsia" w:hAnsiTheme="minorEastAsia"/>
          <w:sz w:val="24"/>
        </w:rPr>
        <w:t>眩晕</w:t>
      </w:r>
      <w:r>
        <w:rPr>
          <w:rFonts w:hint="eastAsia" w:asciiTheme="minorEastAsia" w:hAnsiTheme="minorEastAsia"/>
          <w:color w:val="000000"/>
          <w:sz w:val="24"/>
        </w:rPr>
        <w:t xml:space="preserve">症状明显改善，基本痊愈或显效或有效。 </w:t>
      </w:r>
    </w:p>
    <w:p>
      <w:pPr>
        <w:spacing w:line="400" w:lineRule="exact"/>
        <w:ind w:firstLine="424" w:firstLineChars="177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2.病情稳定，没有需要住院治疗的并发症。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（十）变异退出路径及原因分析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1.病情加重，需要延长住院时间，增加住院费用。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2.合并有内分泌疾病、免疫疾病、心血管疾病等其他系统疾病者，住院期间病情加重，需要特殊处理，导致住院时间延长、费用增加。 </w:t>
      </w:r>
    </w:p>
    <w:p>
      <w:pPr>
        <w:spacing w:line="400" w:lineRule="exact"/>
        <w:ind w:firstLine="424" w:firstLineChars="177"/>
        <w:jc w:val="lef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 xml:space="preserve">3.治疗过程中发生了病情变化，出现严重并发症，退出本路径。 </w:t>
      </w:r>
    </w:p>
    <w:p>
      <w:pPr>
        <w:spacing w:line="400" w:lineRule="exact"/>
        <w:ind w:firstLine="424" w:firstLineChars="177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4.因患者及其家属意愿而影响本路径的执行时，退出本路径。</w:t>
      </w:r>
    </w:p>
    <w:p>
      <w:pPr>
        <w:spacing w:line="400" w:lineRule="exact"/>
        <w:rPr>
          <w:rFonts w:asciiTheme="minorEastAsia" w:hAnsiTheme="minorEastAsia"/>
          <w:color w:val="000000"/>
          <w:sz w:val="24"/>
        </w:rPr>
      </w:pPr>
    </w:p>
    <w:p>
      <w:pPr>
        <w:autoSpaceDE w:val="0"/>
        <w:autoSpaceDN w:val="0"/>
        <w:adjustRightInd w:val="0"/>
        <w:spacing w:before="66"/>
        <w:ind w:firstLine="240" w:firstLineChars="1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二、眩晕（后循环缺血）中医临床路径标准住院表单</w:t>
      </w:r>
    </w:p>
    <w:p>
      <w:pPr>
        <w:autoSpaceDE w:val="0"/>
        <w:autoSpaceDN w:val="0"/>
        <w:adjustRightInd w:val="0"/>
        <w:spacing w:before="66"/>
        <w:ind w:left="138"/>
        <w:jc w:val="left"/>
        <w:rPr>
          <w:rFonts w:cs="仿宋_GB2312" w:asciiTheme="minorEastAsia" w:hAnsiTheme="minorEastAsia"/>
          <w:kern w:val="0"/>
          <w:szCs w:val="21"/>
        </w:rPr>
      </w:pPr>
      <w:r>
        <w:rPr>
          <w:rFonts w:hint="eastAsia" w:cs="仿宋_GB2312" w:asciiTheme="minorEastAsia" w:hAnsiTheme="minorEastAsia"/>
          <w:kern w:val="0"/>
          <w:szCs w:val="21"/>
        </w:rPr>
        <w:t>适用对象</w:t>
      </w:r>
      <w:r>
        <w:rPr>
          <w:rFonts w:cs="仿宋_GB2312" w:asciiTheme="minorEastAsia" w:hAnsiTheme="minorEastAsia"/>
          <w:kern w:val="0"/>
          <w:szCs w:val="21"/>
        </w:rPr>
        <w:t xml:space="preserve">:第一诊断中医为眩晕（TCD编码:BNG070） </w:t>
      </w:r>
    </w:p>
    <w:p>
      <w:pPr>
        <w:autoSpaceDE w:val="0"/>
        <w:autoSpaceDN w:val="0"/>
        <w:adjustRightInd w:val="0"/>
        <w:spacing w:before="66"/>
        <w:ind w:left="138"/>
        <w:jc w:val="left"/>
        <w:rPr>
          <w:rFonts w:cs="仿宋_GB2312" w:asciiTheme="minorEastAsia" w:hAnsiTheme="minorEastAsia"/>
          <w:kern w:val="0"/>
          <w:szCs w:val="21"/>
        </w:rPr>
      </w:pPr>
      <w:r>
        <w:rPr>
          <w:rFonts w:hint="eastAsia" w:cs="仿宋_GB2312" w:asciiTheme="minorEastAsia" w:hAnsiTheme="minorEastAsia"/>
          <w:kern w:val="0"/>
          <w:szCs w:val="21"/>
        </w:rPr>
        <w:t>西医为后循环缺血发作后期及恢复期（</w:t>
      </w:r>
      <w:r>
        <w:rPr>
          <w:rFonts w:cs="仿宋_GB2312" w:asciiTheme="minorEastAsia" w:hAnsiTheme="minorEastAsia"/>
          <w:kern w:val="0"/>
          <w:szCs w:val="21"/>
        </w:rPr>
        <w:t>ICD编码：G45.0 ）</w:t>
      </w:r>
    </w:p>
    <w:p>
      <w:pPr>
        <w:tabs>
          <w:tab w:val="left" w:pos="1500"/>
          <w:tab w:val="left" w:pos="2340"/>
          <w:tab w:val="left" w:pos="3480"/>
          <w:tab w:val="left" w:pos="4740"/>
          <w:tab w:val="left" w:pos="4860"/>
          <w:tab w:val="left" w:pos="5540"/>
          <w:tab w:val="left" w:pos="6540"/>
          <w:tab w:val="left" w:pos="7380"/>
          <w:tab w:val="left" w:pos="8220"/>
        </w:tabs>
        <w:autoSpaceDE w:val="0"/>
        <w:autoSpaceDN w:val="0"/>
        <w:adjustRightInd w:val="0"/>
        <w:spacing w:before="70" w:line="294" w:lineRule="auto"/>
        <w:ind w:left="138" w:right="758"/>
        <w:jc w:val="left"/>
        <w:rPr>
          <w:rFonts w:cs="仿宋_GB2312" w:asciiTheme="minorEastAsia" w:hAnsiTheme="minorEastAsia"/>
          <w:kern w:val="0"/>
          <w:szCs w:val="21"/>
        </w:rPr>
      </w:pPr>
      <w:r>
        <w:rPr>
          <w:rFonts w:hint="eastAsia" w:cs="仿宋_GB2312" w:asciiTheme="minorEastAsia" w:hAnsiTheme="minorEastAsia"/>
          <w:kern w:val="0"/>
          <w:szCs w:val="21"/>
        </w:rPr>
        <w:t>患者姓名</w:t>
      </w:r>
      <w:r>
        <w:rPr>
          <w:rFonts w:cs="仿宋_GB2312" w:asciiTheme="minorEastAsia" w:hAnsiTheme="minorEastAsia"/>
          <w:spacing w:val="1"/>
          <w:kern w:val="0"/>
          <w:szCs w:val="21"/>
        </w:rPr>
        <w:t>: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性别</w:t>
      </w:r>
      <w:r>
        <w:rPr>
          <w:rFonts w:cs="仿宋_GB2312" w:asciiTheme="minorEastAsia" w:hAnsiTheme="minorEastAsia"/>
          <w:spacing w:val="1"/>
          <w:kern w:val="0"/>
          <w:szCs w:val="21"/>
        </w:rPr>
        <w:t>: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年龄</w:t>
      </w:r>
      <w:r>
        <w:rPr>
          <w:rFonts w:cs="仿宋_GB2312" w:asciiTheme="minorEastAsia" w:hAnsiTheme="minorEastAsia"/>
          <w:spacing w:val="1"/>
          <w:kern w:val="0"/>
          <w:szCs w:val="21"/>
        </w:rPr>
        <w:t>: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门诊号</w:t>
      </w:r>
      <w:r>
        <w:rPr>
          <w:rFonts w:hint="eastAsia" w:cs="仿宋_GB2312" w:asciiTheme="minorEastAsia" w:hAnsiTheme="minorEastAsia"/>
          <w:kern w:val="0"/>
          <w:szCs w:val="21"/>
          <w:u w:val="single"/>
        </w:rPr>
        <w:t>：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住院号</w:t>
      </w:r>
      <w:r>
        <w:rPr>
          <w:rFonts w:cs="仿宋_GB2312" w:asciiTheme="minorEastAsia" w:hAnsiTheme="minorEastAsia"/>
          <w:spacing w:val="-1"/>
          <w:kern w:val="0"/>
          <w:szCs w:val="21"/>
          <w:u w:val="single"/>
        </w:rPr>
        <w:t>: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</w:p>
    <w:p>
      <w:pPr>
        <w:tabs>
          <w:tab w:val="left" w:pos="1500"/>
          <w:tab w:val="left" w:pos="2025"/>
          <w:tab w:val="left" w:pos="2640"/>
          <w:tab w:val="left" w:pos="3375"/>
          <w:tab w:val="left" w:pos="4020"/>
          <w:tab w:val="left" w:pos="5805"/>
          <w:tab w:val="left" w:pos="6330"/>
          <w:tab w:val="left" w:pos="6855"/>
        </w:tabs>
        <w:autoSpaceDE w:val="0"/>
        <w:autoSpaceDN w:val="0"/>
        <w:adjustRightInd w:val="0"/>
        <w:spacing w:before="70" w:line="300" w:lineRule="exact"/>
        <w:ind w:left="136" w:right="760"/>
        <w:jc w:val="left"/>
        <w:rPr>
          <w:rFonts w:cs="仿宋_GB2312" w:asciiTheme="minorEastAsia" w:hAnsiTheme="minorEastAsia"/>
          <w:kern w:val="0"/>
          <w:szCs w:val="21"/>
        </w:rPr>
      </w:pPr>
      <w:r>
        <w:rPr>
          <w:rFonts w:hint="eastAsia" w:cs="仿宋_GB2312" w:asciiTheme="minorEastAsia" w:hAnsiTheme="minorEastAsia"/>
          <w:kern w:val="0"/>
          <w:szCs w:val="21"/>
        </w:rPr>
        <w:t>发病时间：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年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月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日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时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分住院日期：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年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月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日</w:t>
      </w:r>
    </w:p>
    <w:p>
      <w:pPr>
        <w:tabs>
          <w:tab w:val="left" w:pos="1500"/>
          <w:tab w:val="left" w:pos="2025"/>
          <w:tab w:val="left" w:pos="2535"/>
          <w:tab w:val="left" w:pos="3375"/>
          <w:tab w:val="left" w:pos="4020"/>
          <w:tab w:val="left" w:pos="5540"/>
          <w:tab w:val="left" w:pos="6120"/>
          <w:tab w:val="left" w:pos="7380"/>
          <w:tab w:val="left" w:pos="8010"/>
        </w:tabs>
        <w:autoSpaceDE w:val="0"/>
        <w:autoSpaceDN w:val="0"/>
        <w:adjustRightInd w:val="0"/>
        <w:spacing w:before="70" w:line="300" w:lineRule="exact"/>
        <w:ind w:left="136" w:right="760"/>
        <w:jc w:val="left"/>
        <w:rPr>
          <w:rFonts w:cs="仿宋_GB2312" w:asciiTheme="minorEastAsia" w:hAnsiTheme="minorEastAsia"/>
          <w:kern w:val="0"/>
          <w:sz w:val="24"/>
        </w:rPr>
      </w:pPr>
      <w:r>
        <w:rPr>
          <w:rFonts w:hint="eastAsia" w:cs="仿宋_GB2312" w:asciiTheme="minorEastAsia" w:hAnsiTheme="minorEastAsia"/>
          <w:kern w:val="0"/>
          <w:szCs w:val="21"/>
        </w:rPr>
        <w:t>出院日</w:t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期</w:t>
      </w:r>
      <w:r>
        <w:rPr>
          <w:rFonts w:hint="eastAsia" w:cs="仿宋_GB2312" w:asciiTheme="minorEastAsia" w:hAnsiTheme="minorEastAsia"/>
          <w:spacing w:val="1"/>
          <w:kern w:val="0"/>
          <w:szCs w:val="21"/>
        </w:rPr>
        <w:t>：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年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spacing w:val="-1"/>
          <w:kern w:val="0"/>
          <w:szCs w:val="21"/>
        </w:rPr>
        <w:t>月</w:t>
      </w:r>
      <w:r>
        <w:rPr>
          <w:rFonts w:cs="仿宋_GB2312" w:asciiTheme="minorEastAsia" w:hAnsiTheme="minorEastAsia"/>
          <w:kern w:val="0"/>
          <w:szCs w:val="21"/>
          <w:u w:val="single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日标准住院日≤12</w:t>
      </w:r>
      <w:r>
        <w:rPr>
          <w:rFonts w:cs="仿宋_GB2312" w:asciiTheme="minorEastAsia" w:hAnsiTheme="minorEastAsia"/>
          <w:kern w:val="0"/>
          <w:szCs w:val="21"/>
        </w:rPr>
        <w:t>天</w:t>
      </w:r>
      <w:r>
        <w:rPr>
          <w:rFonts w:cs="仿宋_GB2312" w:asciiTheme="minorEastAsia" w:hAnsiTheme="minorEastAsia"/>
          <w:kern w:val="0"/>
          <w:szCs w:val="21"/>
        </w:rPr>
        <w:tab/>
      </w:r>
      <w:r>
        <w:rPr>
          <w:rFonts w:cs="仿宋_GB2312" w:asciiTheme="minorEastAsia" w:hAnsiTheme="minorEastAsia"/>
          <w:kern w:val="0"/>
          <w:szCs w:val="21"/>
        </w:rPr>
        <w:tab/>
      </w:r>
      <w:r>
        <w:rPr>
          <w:rFonts w:hint="eastAsia" w:cs="仿宋_GB2312" w:asciiTheme="minorEastAsia" w:hAnsiTheme="minorEastAsia"/>
          <w:kern w:val="0"/>
          <w:szCs w:val="21"/>
        </w:rPr>
        <w:t>实际住院日：</w:t>
      </w:r>
      <w:r>
        <w:rPr>
          <w:rFonts w:cs="仿宋_GB2312" w:asciiTheme="minorEastAsia" w:hAnsiTheme="minorEastAsia"/>
          <w:kern w:val="0"/>
          <w:sz w:val="24"/>
          <w:u w:val="single"/>
        </w:rPr>
        <w:tab/>
      </w:r>
      <w:r>
        <w:rPr>
          <w:rFonts w:hint="eastAsia" w:cs="仿宋_GB2312" w:asciiTheme="minorEastAsia" w:hAnsiTheme="minorEastAsia"/>
          <w:kern w:val="0"/>
          <w:sz w:val="24"/>
        </w:rPr>
        <w:t>天</w:t>
      </w:r>
    </w:p>
    <w:tbl>
      <w:tblPr>
        <w:tblStyle w:val="10"/>
        <w:tblW w:w="82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686"/>
        <w:gridCol w:w="3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" w:line="280" w:lineRule="exact"/>
              <w:ind w:left="231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580"/>
                <w:tab w:val="left" w:pos="2730"/>
              </w:tabs>
              <w:autoSpaceDE w:val="0"/>
              <w:autoSpaceDN w:val="0"/>
              <w:adjustRightInd w:val="0"/>
              <w:spacing w:line="280" w:lineRule="exact"/>
              <w:ind w:left="1277" w:right="1276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  <w:u w:val="single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年月日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  <w:u w:val="single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right="1643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（住院第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1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天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tabs>
                <w:tab w:val="left" w:pos="1500"/>
              </w:tabs>
              <w:autoSpaceDE w:val="0"/>
              <w:autoSpaceDN w:val="0"/>
              <w:adjustRightInd w:val="0"/>
              <w:spacing w:line="280" w:lineRule="exact"/>
              <w:ind w:left="1203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  <w:u w:val="single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年月日分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3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（住院第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2</w:t>
            </w:r>
            <w:r>
              <w:rPr>
                <w:rFonts w:hint="eastAsia" w:cs="仿宋_GB2312" w:asciiTheme="minorEastAsia" w:hAnsiTheme="minorEastAsia"/>
                <w:spacing w:val="-1"/>
                <w:kern w:val="0"/>
                <w:position w:val="-1"/>
                <w:szCs w:val="21"/>
              </w:rPr>
              <w:t>~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3</w:t>
            </w:r>
            <w:r>
              <w:rPr>
                <w:rFonts w:hint="eastAsia" w:cs="仿宋_GB2312" w:asciiTheme="minorEastAsia" w:hAnsiTheme="minorEastAsia"/>
                <w:spacing w:val="-1"/>
                <w:kern w:val="0"/>
                <w:position w:val="-1"/>
                <w:szCs w:val="21"/>
              </w:rPr>
              <w:t>天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exac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336" w:right="296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主要诊疗工作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□询问病史与体格检查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□采集中医四诊信息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□中医证候判断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眩晕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程度分级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□完成初步诊断及评估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□初步拟定诊疗方案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□密切观察、防治并发症，必要时监护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□完成首次病程记录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□完成入院记录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□与患者及家属沟通病情。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□辅助检查项目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□中医辨证治疗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□完成主治医师查房记录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□采集中医四诊信息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□中医证候判断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眩晕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程度分级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□确认检查结果并制定相应处理措施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□明确原发病及诱因予纠正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□审订治疗方案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□病程记录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□完成入院检查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□中医治疗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  <w:highlight w:val="red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证型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  <w:highlight w:val="red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  <w:highlight w:val="red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7" w:hRule="exac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" w:line="280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点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嘱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长期医嘱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□分级护理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□流食或半流食饮食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□静卧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□口服中药汤剂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□口服中成药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□中药静脉制剂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□针刺疗法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□体针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□其他中医特色疗法（</w:t>
            </w:r>
            <w:r>
              <w:rPr>
                <w:rFonts w:hint="eastAsia" w:cs="仿宋" w:asciiTheme="minorEastAsia" w:hAnsiTheme="minorEastAsia"/>
                <w:kern w:val="0"/>
                <w:position w:val="-1"/>
                <w:szCs w:val="21"/>
              </w:rPr>
              <w:t>□中药泡洗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食疗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电针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火罐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艾灸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耳穴</w:t>
            </w:r>
            <w:r>
              <w:rPr>
                <w:rFonts w:hint="eastAsia" w:cs="仿宋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涂擦</w:t>
            </w:r>
            <w:r>
              <w:rPr>
                <w:rFonts w:hint="eastAsia" w:cs="仿宋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热敷</w:t>
            </w:r>
            <w:r>
              <w:rPr>
                <w:rFonts w:hint="eastAsia" w:cs="仿宋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贴敷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□运动康复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□西药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□原剂量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□剂量减少 □剂量增加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临时医嘱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□专科常规体检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TCD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0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□入院全身情况评估检查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spacing w:val="-53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□酌情安排影像学等检查（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CT</w:t>
            </w:r>
            <w:r>
              <w:rPr>
                <w:rFonts w:hint="eastAsia" w:cs="仿宋_GB2312" w:asciiTheme="minorEastAsia" w:hAnsiTheme="minorEastAsia"/>
                <w:spacing w:val="-1"/>
                <w:kern w:val="0"/>
                <w:position w:val="-1"/>
                <w:szCs w:val="21"/>
              </w:rPr>
              <w:t>、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MRI</w:t>
            </w:r>
            <w:r>
              <w:rPr>
                <w:rFonts w:cs="仿宋_GB2312" w:asciiTheme="minorEastAsia" w:hAnsiTheme="minorEastAsia"/>
                <w:spacing w:val="-53"/>
                <w:kern w:val="0"/>
                <w:position w:val="-1"/>
                <w:szCs w:val="21"/>
              </w:rPr>
              <w:t xml:space="preserve"> 等）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□对症支持治疗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长期医嘱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□分级护理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□流食或半流食饮食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□静卧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□口服中药汤剂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□口服中成药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□中药静脉制剂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□针刺疗法□体针□耳穴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□其他中医特色疗法（</w:t>
            </w:r>
            <w:r>
              <w:rPr>
                <w:rFonts w:hint="eastAsia" w:cs="仿宋" w:asciiTheme="minorEastAsia" w:hAnsiTheme="minorEastAsia"/>
                <w:kern w:val="0"/>
                <w:position w:val="-1"/>
                <w:szCs w:val="21"/>
              </w:rPr>
              <w:t>□中药泡洗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食疗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电针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火罐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艾灸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耳穴</w:t>
            </w:r>
            <w:r>
              <w:rPr>
                <w:rFonts w:hint="eastAsia" w:cs="仿宋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" w:asciiTheme="minorEastAsia" w:hAnsiTheme="minorEastAsia"/>
                <w:szCs w:val="21"/>
              </w:rPr>
              <w:t>涂擦</w:t>
            </w:r>
            <w:r>
              <w:rPr>
                <w:rFonts w:cs="仿宋" w:asciiTheme="minorEastAsia" w:hAnsiTheme="minorEastAsia"/>
                <w:kern w:val="0"/>
                <w:position w:val="-1"/>
                <w:szCs w:val="21"/>
              </w:rPr>
              <w:t xml:space="preserve"> □</w:t>
            </w:r>
            <w:r>
              <w:rPr>
                <w:rFonts w:hint="eastAsia" w:cs="仿宋" w:asciiTheme="minorEastAsia" w:hAnsiTheme="minorEastAsia"/>
                <w:szCs w:val="21"/>
              </w:rPr>
              <w:t>热敷</w:t>
            </w:r>
            <w:r>
              <w:rPr>
                <w:rFonts w:cs="仿宋" w:asciiTheme="minorEastAsia" w:hAnsiTheme="minorEastAsia"/>
                <w:kern w:val="0"/>
                <w:position w:val="-1"/>
                <w:szCs w:val="21"/>
              </w:rPr>
              <w:t xml:space="preserve"> □</w:t>
            </w:r>
            <w:r>
              <w:rPr>
                <w:rFonts w:hint="eastAsia" w:cs="仿宋" w:asciiTheme="minorEastAsia" w:hAnsiTheme="minorEastAsia"/>
                <w:szCs w:val="21"/>
              </w:rPr>
              <w:t>贴敷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□运动康复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□西药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□原剂量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□剂量减少 □剂量增加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临时医嘱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□专科常规体检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□酌情安排影像学等检查（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CTA或DSA、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BAEP等）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exac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231" w:right="191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主要护理工作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□入院宣教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□完成护理记录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□观察并记录病情变化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□静脉抽血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□完成患者心理与生活护理（康复训练及情志调理）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□安排各项检查时间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□完成辨证施护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□完成护理记录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□观察并记录病情变化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□完成患者心理与生活护理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□完成患者心理与生活护理（康复训练及情志调理）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□安排各项检查时间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病情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变异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记录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hint="eastAsia" w:cs="仿宋_GB2312" w:asciiTheme="minorEastAsia" w:hAnsiTheme="minorEastAsia"/>
                <w:spacing w:val="-1"/>
                <w:kern w:val="0"/>
                <w:position w:val="-1"/>
                <w:szCs w:val="21"/>
              </w:rPr>
              <w:t>有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，原因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: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spacing w:val="1"/>
                <w:kern w:val="0"/>
                <w:position w:val="-1"/>
                <w:szCs w:val="21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spacing w:val="1"/>
                <w:kern w:val="0"/>
                <w:position w:val="-1"/>
                <w:szCs w:val="21"/>
              </w:rPr>
              <w:t>2.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□无□有</w:t>
            </w:r>
            <w:r>
              <w:rPr>
                <w:rFonts w:hint="eastAsia" w:cs="仿宋_GB2312" w:asciiTheme="minorEastAsia" w:hAnsiTheme="minorEastAsia"/>
                <w:spacing w:val="-1"/>
                <w:kern w:val="0"/>
                <w:position w:val="-1"/>
                <w:szCs w:val="21"/>
              </w:rPr>
              <w:t>，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原因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: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spacing w:val="1"/>
                <w:kern w:val="0"/>
                <w:position w:val="-1"/>
                <w:szCs w:val="21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/>
                <w:spacing w:val="1"/>
                <w:kern w:val="0"/>
                <w:position w:val="-1"/>
                <w:szCs w:val="21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exac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责任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护士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签名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7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医师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szCs w:val="21"/>
              </w:rPr>
              <w:t>签名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仿宋_GB2312"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280" w:lineRule="exact"/>
        <w:rPr>
          <w:szCs w:val="21"/>
        </w:rPr>
      </w:pPr>
    </w:p>
    <w:p>
      <w:pPr>
        <w:tabs>
          <w:tab w:val="left" w:pos="1500"/>
          <w:tab w:val="left" w:pos="2025"/>
          <w:tab w:val="left" w:pos="2535"/>
          <w:tab w:val="left" w:pos="3375"/>
          <w:tab w:val="left" w:pos="4020"/>
          <w:tab w:val="left" w:pos="5540"/>
          <w:tab w:val="left" w:pos="6120"/>
          <w:tab w:val="left" w:pos="7380"/>
          <w:tab w:val="left" w:pos="8010"/>
        </w:tabs>
        <w:autoSpaceDE w:val="0"/>
        <w:autoSpaceDN w:val="0"/>
        <w:adjustRightInd w:val="0"/>
        <w:spacing w:before="70" w:line="280" w:lineRule="exact"/>
        <w:ind w:left="138" w:right="758"/>
        <w:jc w:val="left"/>
        <w:rPr>
          <w:rFonts w:cs="仿宋_GB2312" w:asciiTheme="minorEastAsia" w:hAnsiTheme="minorEastAsia"/>
          <w:kern w:val="0"/>
          <w:sz w:val="24"/>
        </w:rPr>
      </w:pPr>
    </w:p>
    <w:p>
      <w:pPr>
        <w:tabs>
          <w:tab w:val="left" w:pos="1500"/>
          <w:tab w:val="left" w:pos="2025"/>
          <w:tab w:val="left" w:pos="2535"/>
          <w:tab w:val="left" w:pos="3375"/>
          <w:tab w:val="left" w:pos="4020"/>
          <w:tab w:val="left" w:pos="5540"/>
          <w:tab w:val="left" w:pos="6120"/>
          <w:tab w:val="left" w:pos="7380"/>
          <w:tab w:val="left" w:pos="8010"/>
        </w:tabs>
        <w:autoSpaceDE w:val="0"/>
        <w:autoSpaceDN w:val="0"/>
        <w:adjustRightInd w:val="0"/>
        <w:spacing w:before="70" w:line="240" w:lineRule="exact"/>
        <w:ind w:left="138" w:right="758"/>
        <w:jc w:val="left"/>
        <w:rPr>
          <w:rFonts w:eastAsia="仿宋_GB2312" w:cs="仿宋_GB2312" w:asciiTheme="minorEastAsia" w:hAnsiTheme="minorEastAsia"/>
          <w:kern w:val="0"/>
          <w:sz w:val="24"/>
          <w:szCs w:val="21"/>
        </w:rPr>
        <w:sectPr>
          <w:pgSz w:w="11900" w:h="15880"/>
          <w:pgMar w:top="1440" w:right="1797" w:bottom="1440" w:left="1797" w:header="828" w:footer="970" w:gutter="0"/>
          <w:cols w:space="720" w:num="1"/>
          <w:docGrid w:linePitch="286" w:charSpace="0"/>
        </w:sectPr>
      </w:pPr>
    </w:p>
    <w:tbl>
      <w:tblPr>
        <w:tblStyle w:val="10"/>
        <w:tblpPr w:leftFromText="180" w:rightFromText="180" w:vertAnchor="page" w:horzAnchor="margin" w:tblpY="1561"/>
        <w:tblW w:w="92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791"/>
        <w:gridCol w:w="2777"/>
        <w:gridCol w:w="27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940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时间</w:t>
            </w:r>
          </w:p>
        </w:tc>
        <w:tc>
          <w:tcPr>
            <w:tcW w:w="27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15"/>
              </w:tabs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年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月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（住院第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4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~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5天）</w:t>
            </w:r>
          </w:p>
        </w:tc>
        <w:tc>
          <w:tcPr>
            <w:tcW w:w="27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00"/>
              </w:tabs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年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 月  日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（住院第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6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~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7天）</w:t>
            </w:r>
          </w:p>
        </w:tc>
        <w:tc>
          <w:tcPr>
            <w:tcW w:w="27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line="221" w:lineRule="exact"/>
              <w:ind w:left="102" w:right="725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年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月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 w:right="346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（住院第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8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~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12天，出院日）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9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诊疗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工作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□完成主任医师查房记录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□根据病情调整方案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□病程记录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□中医治疗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20"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□上级医师查房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□采集中医四诊信息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□中医证候判断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□眩晕程度分级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□审订治疗方案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□病程记录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20"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□眩晕程度分级</w:t>
            </w:r>
          </w:p>
          <w:p>
            <w:pPr>
              <w:autoSpaceDE w:val="0"/>
              <w:autoSpaceDN w:val="0"/>
              <w:adjustRightInd w:val="0"/>
              <w:spacing w:before="20"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□疗效评估、</w:t>
            </w:r>
          </w:p>
          <w:p>
            <w:pPr>
              <w:autoSpaceDE w:val="0"/>
              <w:autoSpaceDN w:val="0"/>
              <w:adjustRightInd w:val="0"/>
              <w:spacing w:before="20"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□明确是否出院</w:t>
            </w:r>
          </w:p>
          <w:p>
            <w:pPr>
              <w:autoSpaceDE w:val="0"/>
              <w:autoSpaceDN w:val="0"/>
              <w:adjustRightInd w:val="0"/>
              <w:spacing w:before="20"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□交代出院后注意事项和随访方案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□完成出院总结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□通知出院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9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证型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20"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20"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exact"/>
        </w:trPr>
        <w:tc>
          <w:tcPr>
            <w:tcW w:w="9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5"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21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重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点 </w:t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医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 w:right="314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嘱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长期医嘱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□分级护理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□流食或半流食饮食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□静卧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□口服中药汤剂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□口服中成药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□中药静脉制剂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□针刺疗法□体针□耳穴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□其他中医特色疗法（□中药泡洗□食疗□电针□火罐□艾灸□耳穴□涂擦□热敷□贴敷）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□运动康复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□西药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□原剂量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□剂量减少 □剂量增加 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临时医嘱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□专科常规体检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长期医嘱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□分级护理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□流食或半流食饮食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□静卧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□口服中药汤剂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□口服中成药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□中药静脉制剂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□针刺疗法□体针□耳穴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□其他中医特色疗法（□中药泡洗□食疗□电针□火罐□艾灸□耳穴□涂擦□热敷□贴敷）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□运动康复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□西药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□原剂量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 xml:space="preserve"> □剂量减少 □剂量增加 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临时医嘱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□专科常规体检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□酌情安排影像学等复查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出院医嘱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□开具出院医嘱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TCD复查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□出院带药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□门诊随诊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exact"/>
        </w:trPr>
        <w:tc>
          <w:tcPr>
            <w:tcW w:w="9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21" w:lineRule="exact"/>
              <w:ind w:left="102" w:right="208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主要护理工作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□完成护理记录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□观察并记录病情变化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□完成患者心理与生活护理（康复训练及情志调理）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□饮食指导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□健康教育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□护理常规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□完成护理记录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□观察并记录病情变化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□完成患者心理与生活护理（康复训练及情志调理）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□饮食指导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□健康教育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□协助办理出院手续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□指导患者病后康复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 w:right="49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□交代出院后注意事项，进行健康宣教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□指导出院带药的煎法服法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□送患者出院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9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病情变异记录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□有，原因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: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2.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□无□有，原因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: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2.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□有，原因</w:t>
            </w: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: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exact"/>
        </w:trPr>
        <w:tc>
          <w:tcPr>
            <w:tcW w:w="9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责任护士签名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exact"/>
        </w:trPr>
        <w:tc>
          <w:tcPr>
            <w:tcW w:w="9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医师</w:t>
            </w:r>
          </w:p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center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  <w:r>
              <w:rPr>
                <w:rFonts w:hint="eastAsia" w:cs="仿宋_GB2312" w:asciiTheme="minorEastAsia" w:hAnsiTheme="minorEastAsia"/>
                <w:kern w:val="0"/>
                <w:position w:val="-1"/>
                <w:szCs w:val="21"/>
              </w:rPr>
              <w:t>签名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line="221" w:lineRule="exact"/>
              <w:ind w:left="102"/>
              <w:jc w:val="left"/>
              <w:rPr>
                <w:rFonts w:cs="仿宋_GB2312" w:asciiTheme="minorEastAsia" w:hAnsiTheme="minorEastAsia"/>
                <w:kern w:val="0"/>
                <w:position w:val="-1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4"/>
        </w:rPr>
      </w:pPr>
    </w:p>
    <w:p>
      <w:pPr>
        <w:spacing w:line="400" w:lineRule="exact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ascii="宋体" w:hAnsi="宋体" w:cs="宋体"/>
          <w:sz w:val="24"/>
        </w:rPr>
      </w:pPr>
    </w:p>
    <w:p>
      <w:pPr>
        <w:spacing w:line="400" w:lineRule="exact"/>
        <w:rPr>
          <w:rFonts w:ascii="宋体" w:hAnsi="宋体" w:cs="宋体"/>
          <w:sz w:val="24"/>
        </w:rPr>
      </w:pPr>
    </w:p>
    <w:p>
      <w:pPr>
        <w:spacing w:line="400" w:lineRule="exact"/>
        <w:ind w:left="567" w:leftChars="2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牵头分会：中华中医药学会脑病分会</w:t>
      </w:r>
    </w:p>
    <w:p>
      <w:pPr>
        <w:spacing w:line="400" w:lineRule="exact"/>
        <w:ind w:left="567" w:leftChars="2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牵 头 人：林亚明（云南中医药大学第一附属医院）</w:t>
      </w:r>
    </w:p>
    <w:p>
      <w:pPr>
        <w:spacing w:line="400" w:lineRule="exact"/>
        <w:ind w:left="567" w:leftChars="2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主要完成人：</w:t>
      </w:r>
    </w:p>
    <w:p>
      <w:pPr>
        <w:spacing w:line="400" w:lineRule="exact"/>
        <w:ind w:left="567" w:leftChars="270" w:firstLine="1200" w:firstLineChars="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林亚明（云南中医药大学第一附属医院）</w:t>
      </w:r>
    </w:p>
    <w:p>
      <w:pPr>
        <w:spacing w:line="400" w:lineRule="exact"/>
        <w:ind w:left="567" w:leftChars="270" w:firstLine="1200" w:firstLineChars="5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  健（云南中医药大学第一附属医院）</w:t>
      </w:r>
    </w:p>
    <w:p>
      <w:pPr>
        <w:spacing w:line="400" w:lineRule="exact"/>
        <w:ind w:left="567" w:leftChars="270" w:firstLine="1200" w:firstLineChars="5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李晓慧（云南中医药大学第一附属医院）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0AA0"/>
    <w:multiLevelType w:val="singleLevel"/>
    <w:tmpl w:val="5A0B0AA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B0AB7"/>
    <w:multiLevelType w:val="singleLevel"/>
    <w:tmpl w:val="5A0B0AB7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0B0CBA"/>
    <w:multiLevelType w:val="singleLevel"/>
    <w:tmpl w:val="5A0B0CB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0B0FE5"/>
    <w:multiLevelType w:val="singleLevel"/>
    <w:tmpl w:val="5A0B0FE5"/>
    <w:lvl w:ilvl="0" w:tentative="0">
      <w:start w:val="3"/>
      <w:numFmt w:val="chineseCounting"/>
      <w:suff w:val="nothing"/>
      <w:lvlText w:val="（%1）"/>
      <w:lvlJc w:val="left"/>
    </w:lvl>
  </w:abstractNum>
  <w:abstractNum w:abstractNumId="4">
    <w:nsid w:val="5A0B10B4"/>
    <w:multiLevelType w:val="singleLevel"/>
    <w:tmpl w:val="5A0B10B4"/>
    <w:lvl w:ilvl="0" w:tentative="0">
      <w:start w:val="4"/>
      <w:numFmt w:val="chineseCounting"/>
      <w:suff w:val="nothing"/>
      <w:lvlText w:val="（%1）"/>
      <w:lvlJc w:val="left"/>
    </w:lvl>
  </w:abstractNum>
  <w:abstractNum w:abstractNumId="5">
    <w:nsid w:val="5A0B1165"/>
    <w:multiLevelType w:val="singleLevel"/>
    <w:tmpl w:val="5A0B1165"/>
    <w:lvl w:ilvl="0" w:tentative="0">
      <w:start w:val="6"/>
      <w:numFmt w:val="chineseCounting"/>
      <w:suff w:val="nothing"/>
      <w:lvlText w:val="（%1）"/>
      <w:lvlJc w:val="left"/>
    </w:lvl>
  </w:abstractNum>
  <w:abstractNum w:abstractNumId="6">
    <w:nsid w:val="5A0B12EF"/>
    <w:multiLevelType w:val="singleLevel"/>
    <w:tmpl w:val="5A0B12EF"/>
    <w:lvl w:ilvl="0" w:tentative="0">
      <w:start w:val="8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930"/>
    <w:rsid w:val="00061714"/>
    <w:rsid w:val="00110573"/>
    <w:rsid w:val="00140353"/>
    <w:rsid w:val="00172A27"/>
    <w:rsid w:val="001963EC"/>
    <w:rsid w:val="001E4E4E"/>
    <w:rsid w:val="00203E51"/>
    <w:rsid w:val="00213D0B"/>
    <w:rsid w:val="00226138"/>
    <w:rsid w:val="00291C37"/>
    <w:rsid w:val="002A335B"/>
    <w:rsid w:val="00303AF9"/>
    <w:rsid w:val="003102BC"/>
    <w:rsid w:val="00310C4F"/>
    <w:rsid w:val="00341ECE"/>
    <w:rsid w:val="003969B5"/>
    <w:rsid w:val="003B1FA1"/>
    <w:rsid w:val="003B2AA4"/>
    <w:rsid w:val="00447A0C"/>
    <w:rsid w:val="0045523F"/>
    <w:rsid w:val="00477828"/>
    <w:rsid w:val="004A2B19"/>
    <w:rsid w:val="0050117B"/>
    <w:rsid w:val="00506555"/>
    <w:rsid w:val="00520E20"/>
    <w:rsid w:val="00523A79"/>
    <w:rsid w:val="005349A1"/>
    <w:rsid w:val="005378FE"/>
    <w:rsid w:val="00542988"/>
    <w:rsid w:val="00552399"/>
    <w:rsid w:val="005A2775"/>
    <w:rsid w:val="005E3D34"/>
    <w:rsid w:val="00643F34"/>
    <w:rsid w:val="006627F1"/>
    <w:rsid w:val="00687842"/>
    <w:rsid w:val="00706BF4"/>
    <w:rsid w:val="00737074"/>
    <w:rsid w:val="00766DD7"/>
    <w:rsid w:val="0080421F"/>
    <w:rsid w:val="008A37C0"/>
    <w:rsid w:val="008D0AA5"/>
    <w:rsid w:val="009226F4"/>
    <w:rsid w:val="00974372"/>
    <w:rsid w:val="00A62305"/>
    <w:rsid w:val="00A87DB1"/>
    <w:rsid w:val="00A933DF"/>
    <w:rsid w:val="00A94613"/>
    <w:rsid w:val="00B07EB2"/>
    <w:rsid w:val="00B80CDF"/>
    <w:rsid w:val="00B83643"/>
    <w:rsid w:val="00C2418E"/>
    <w:rsid w:val="00CB408F"/>
    <w:rsid w:val="00CC3B19"/>
    <w:rsid w:val="00CE6857"/>
    <w:rsid w:val="00D05CC5"/>
    <w:rsid w:val="00D20A83"/>
    <w:rsid w:val="00D63DA2"/>
    <w:rsid w:val="00D643D1"/>
    <w:rsid w:val="00D75875"/>
    <w:rsid w:val="00DE2DDB"/>
    <w:rsid w:val="00DF69E5"/>
    <w:rsid w:val="00E01EAF"/>
    <w:rsid w:val="00F16492"/>
    <w:rsid w:val="00F17E6C"/>
    <w:rsid w:val="00F92A90"/>
    <w:rsid w:val="00F96AAD"/>
    <w:rsid w:val="00FD7EA7"/>
    <w:rsid w:val="01FC70C1"/>
    <w:rsid w:val="09A7696D"/>
    <w:rsid w:val="0AB237AA"/>
    <w:rsid w:val="0C37597C"/>
    <w:rsid w:val="0E121E98"/>
    <w:rsid w:val="12A11FC6"/>
    <w:rsid w:val="14AD1F53"/>
    <w:rsid w:val="15C34088"/>
    <w:rsid w:val="18CB41B8"/>
    <w:rsid w:val="19441FB5"/>
    <w:rsid w:val="1B6E6761"/>
    <w:rsid w:val="1F0E64B5"/>
    <w:rsid w:val="237E2C0D"/>
    <w:rsid w:val="2CD010CF"/>
    <w:rsid w:val="2D37108A"/>
    <w:rsid w:val="2F5D1D9B"/>
    <w:rsid w:val="2FC91A68"/>
    <w:rsid w:val="314658FF"/>
    <w:rsid w:val="343B3BF2"/>
    <w:rsid w:val="3B6A157E"/>
    <w:rsid w:val="40904965"/>
    <w:rsid w:val="438F113C"/>
    <w:rsid w:val="43B63684"/>
    <w:rsid w:val="44B029E6"/>
    <w:rsid w:val="45FB728A"/>
    <w:rsid w:val="490C612A"/>
    <w:rsid w:val="4983424D"/>
    <w:rsid w:val="4BDD185A"/>
    <w:rsid w:val="4C4E391F"/>
    <w:rsid w:val="4E871432"/>
    <w:rsid w:val="52CF25F5"/>
    <w:rsid w:val="54A42707"/>
    <w:rsid w:val="56A47E10"/>
    <w:rsid w:val="596A0613"/>
    <w:rsid w:val="5B066138"/>
    <w:rsid w:val="602D7C0F"/>
    <w:rsid w:val="6062513C"/>
    <w:rsid w:val="609522D2"/>
    <w:rsid w:val="62797FFF"/>
    <w:rsid w:val="65371D63"/>
    <w:rsid w:val="67F97E4D"/>
    <w:rsid w:val="685259B7"/>
    <w:rsid w:val="689D7E66"/>
    <w:rsid w:val="68B91132"/>
    <w:rsid w:val="6DE23732"/>
    <w:rsid w:val="6FF47B9B"/>
    <w:rsid w:val="74442CEE"/>
    <w:rsid w:val="79F170C4"/>
    <w:rsid w:val="7BA16400"/>
    <w:rsid w:val="7EFC5630"/>
    <w:rsid w:val="7F265F18"/>
    <w:rsid w:val="7F354F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uiPriority w:val="0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theme="minorBidi"/>
      <w:color w:val="000000"/>
      <w:sz w:val="24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HTML 预设格式 字符"/>
    <w:basedOn w:val="8"/>
    <w:semiHidden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19">
    <w:name w:val="HTML 预设格式 Char"/>
    <w:link w:val="7"/>
    <w:qFormat/>
    <w:locked/>
    <w:uiPriority w:val="99"/>
    <w:rPr>
      <w:rFonts w:ascii="宋体" w:hAnsi="宋体"/>
      <w:sz w:val="24"/>
      <w:szCs w:val="24"/>
    </w:rPr>
  </w:style>
  <w:style w:type="character" w:customStyle="1" w:styleId="20">
    <w:name w:val="批注文字 字符1"/>
    <w:semiHidden/>
    <w:qFormat/>
    <w:locked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3538A-A23D-43AB-9EAC-38F8D3955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487</Words>
  <Characters>2777</Characters>
  <Lines>23</Lines>
  <Paragraphs>6</Paragraphs>
  <TotalTime>34</TotalTime>
  <ScaleCrop>false</ScaleCrop>
  <LinksUpToDate>false</LinksUpToDate>
  <CharactersWithSpaces>3258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2018-09-06T13:02:00Z</dcterms:created>
  <dc:creator>lenovo</dc:creator>
  <cp:lastModifiedBy>CaI。。。</cp:lastModifiedBy>
  <dcterms:modified xsi:type="dcterms:W3CDTF">2019-01-08T02:27:01Z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